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FC1A8A" w:rsidP="00FC1A8A">
      <w:pPr>
        <w:pStyle w:val="Default"/>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is committed to maintaining a workplace free from sexual harassment.</w:t>
      </w:r>
      <w:r w:rsidR="008E2357">
        <w:rPr>
          <w:rFonts w:ascii="Arial" w:hAnsi="Arial" w:cs="Arial"/>
        </w:rPr>
        <w:t xml:space="preserve"> </w:t>
      </w:r>
      <w:r>
        <w:rPr>
          <w:rFonts w:ascii="Arial" w:hAnsi="Arial" w:cs="Arial"/>
        </w:rPr>
        <w:t>Sexual harassment is a form of workplace discrimination. A</w:t>
      </w:r>
      <w:r w:rsidRPr="0051126B">
        <w:rPr>
          <w:rFonts w:ascii="Arial" w:hAnsi="Arial" w:cs="Arial"/>
        </w:rPr>
        <w:t>ll employees are required to work in a manner that prevents sexual harassment in the workplace</w:t>
      </w:r>
      <w:r>
        <w:rPr>
          <w:rFonts w:ascii="Arial" w:hAnsi="Arial" w:cs="Arial"/>
        </w:rPr>
        <w:t xml:space="preserve">. This Policy is one component of </w:t>
      </w:r>
      <w:r w:rsidRPr="00AC4F6C">
        <w:rPr>
          <w:rFonts w:ascii="Arial" w:hAnsi="Arial"/>
          <w:highlight w:val="yellow"/>
        </w:rPr>
        <w:t>[</w:t>
      </w:r>
      <w:r w:rsidRPr="00AC4F6C">
        <w:rPr>
          <w:rFonts w:ascii="Arial" w:hAnsi="Arial"/>
          <w:i/>
          <w:highlight w:val="yellow"/>
        </w:rPr>
        <w:t>Employer Name’s</w:t>
      </w:r>
      <w:r w:rsidRPr="00AC4F6C">
        <w:rPr>
          <w:rFonts w:ascii="Arial" w:hAnsi="Arial"/>
          <w:highlight w:val="yellow"/>
        </w:rPr>
        <w:t>]</w:t>
      </w:r>
      <w:r>
        <w:rPr>
          <w:rFonts w:ascii="Arial" w:hAnsi="Arial" w:cs="Arial"/>
        </w:rPr>
        <w:t xml:space="preserve"> commitment to a discrimination-free work environment. Sexual harassment is against the law</w:t>
      </w:r>
      <w:r>
        <w:rPr>
          <w:rStyle w:val="FootnoteReference"/>
          <w:rFonts w:ascii="Arial" w:hAnsi="Arial" w:cs="Arial"/>
        </w:rPr>
        <w:footnoteReference w:id="2"/>
      </w:r>
      <w:r>
        <w:rPr>
          <w:rFonts w:ascii="Arial" w:hAnsi="Arial" w:cs="Arial"/>
        </w:rPr>
        <w:t xml:space="preserve"> and all employees have a legal right to a workplace free from sexual harassment and employees are urged to report sexual harassment by filing a complaint internally with </w:t>
      </w:r>
      <w:r w:rsidR="001F19C7" w:rsidRPr="00AC4F6C">
        <w:rPr>
          <w:rFonts w:ascii="Arial" w:hAnsi="Arial"/>
          <w:highlight w:val="yellow"/>
        </w:rPr>
        <w:t>[</w:t>
      </w:r>
      <w:r w:rsidR="001F19C7" w:rsidRPr="00AC4F6C">
        <w:rPr>
          <w:rFonts w:ascii="Arial" w:hAnsi="Arial"/>
          <w:i/>
          <w:highlight w:val="yellow"/>
        </w:rPr>
        <w:t>Employer Name</w:t>
      </w:r>
      <w:r w:rsidR="001F19C7" w:rsidRPr="00AC4F6C">
        <w:rPr>
          <w:rFonts w:ascii="Arial" w:hAnsi="Arial"/>
          <w:highlight w:val="yellow"/>
        </w:rPr>
        <w:t>]</w:t>
      </w:r>
      <w:r w:rsidR="001F19C7">
        <w:rPr>
          <w:rFonts w:ascii="Arial" w:hAnsi="Arial"/>
        </w:rPr>
        <w:t>.</w:t>
      </w:r>
      <w:r>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FC1A8A" w:rsidP="00FC1A8A">
      <w:pPr>
        <w:pStyle w:val="Default"/>
        <w:numPr>
          <w:ilvl w:val="0"/>
          <w:numId w:val="17"/>
        </w:numPr>
        <w:rPr>
          <w:rFonts w:ascii="Arial" w:hAnsi="Arial" w:cs="Arial"/>
        </w:rPr>
      </w:pPr>
      <w:r w:rsidRPr="00AC4F6C">
        <w:rPr>
          <w:rFonts w:ascii="Arial" w:hAnsi="Arial"/>
          <w:highlight w:val="yellow"/>
        </w:rPr>
        <w:t>[</w:t>
      </w:r>
      <w:r w:rsidRPr="00AC4F6C">
        <w:rPr>
          <w:rFonts w:ascii="Arial" w:hAnsi="Arial"/>
          <w:i/>
          <w:highlight w:val="yellow"/>
        </w:rPr>
        <w:t xml:space="preserve">Employer </w:t>
      </w:r>
      <w:r w:rsidRPr="00425C2B">
        <w:rPr>
          <w:rFonts w:ascii="Arial" w:hAnsi="Arial" w:cs="Arial"/>
          <w:i/>
          <w:highlight w:val="yellow"/>
        </w:rPr>
        <w:t>Name</w:t>
      </w:r>
      <w:r>
        <w:rPr>
          <w:rFonts w:ascii="Arial" w:hAnsi="Arial" w:cs="Arial"/>
          <w:i/>
          <w:highlight w:val="yellow"/>
        </w:rPr>
        <w:t>’s</w:t>
      </w:r>
      <w:r w:rsidRPr="00425C2B">
        <w:rPr>
          <w:rFonts w:ascii="Arial" w:hAnsi="Arial" w:cs="Arial"/>
          <w:highlight w:val="yellow"/>
        </w:rPr>
        <w:t>]</w:t>
      </w:r>
      <w:r w:rsidRPr="00F80858">
        <w:rPr>
          <w:rFonts w:ascii="Arial" w:hAnsi="Arial" w:cs="Arial"/>
        </w:rPr>
        <w:t xml:space="preserve"> </w:t>
      </w:r>
      <w:r>
        <w:rPr>
          <w:rFonts w:ascii="Arial" w:hAnsi="Arial" w:cs="Arial"/>
        </w:rPr>
        <w:t>p</w:t>
      </w:r>
      <w:r w:rsidRPr="00F80858">
        <w:rPr>
          <w:rFonts w:ascii="Arial" w:hAnsi="Arial" w:cs="Arial"/>
        </w:rPr>
        <w:t>olicy applies to all employees, applicants for employment, interns, whether paid or unpaid, contractors and persons conducting business</w:t>
      </w:r>
      <w:r>
        <w:rPr>
          <w:rFonts w:ascii="Arial" w:hAnsi="Arial" w:cs="Arial"/>
        </w:rPr>
        <w:t xml:space="preserve">, regardless of immigration status, </w:t>
      </w:r>
      <w:r w:rsidRPr="00F80858">
        <w:rPr>
          <w:rFonts w:ascii="Arial" w:hAnsi="Arial" w:cs="Arial"/>
        </w:rPr>
        <w:t xml:space="preserve">with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w:t>
      </w:r>
      <w:r>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Pr="00AC4F6C">
        <w:rPr>
          <w:rFonts w:ascii="Arial" w:hAnsi="Arial"/>
          <w:highlight w:val="yellow"/>
        </w:rPr>
        <w:t>[</w:t>
      </w:r>
      <w:r w:rsidRPr="00AC4F6C">
        <w:rPr>
          <w:rFonts w:ascii="Arial" w:hAnsi="Arial"/>
          <w:i/>
          <w:highlight w:val="yellow"/>
        </w:rPr>
        <w:t>name of appropriate person</w:t>
      </w:r>
      <w:r w:rsidRPr="00AC4F6C">
        <w:rPr>
          <w:rFonts w:ascii="Arial" w:hAnsi="Arial"/>
          <w:highlight w:val="yellow"/>
        </w:rPr>
        <w:t>]</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FC1A8A" w:rsidP="00FC1A8A">
      <w:pPr>
        <w:pStyle w:val="Default"/>
        <w:numPr>
          <w:ilvl w:val="0"/>
          <w:numId w:val="21"/>
        </w:numPr>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will conduct a prompt </w:t>
      </w:r>
      <w:r>
        <w:rPr>
          <w:rFonts w:ascii="Arial" w:hAnsi="Arial" w:cs="Arial"/>
        </w:rPr>
        <w:t xml:space="preserve">and </w:t>
      </w:r>
      <w:r w:rsidRPr="0051126B">
        <w:rPr>
          <w:rFonts w:ascii="Arial" w:hAnsi="Arial" w:cs="Arial"/>
        </w:rPr>
        <w:t>thorough investigation that</w:t>
      </w:r>
      <w:r>
        <w:rPr>
          <w:rFonts w:ascii="Arial" w:hAnsi="Arial" w:cs="Arial"/>
        </w:rPr>
        <w:t xml:space="preserve"> </w:t>
      </w:r>
      <w:r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w:t>
      </w:r>
      <w:r w:rsidRPr="007C6206">
        <w:rPr>
          <w:rFonts w:ascii="Arial" w:hAnsi="Arial" w:cs="Arial"/>
          <w:i/>
          <w:highlight w:val="yellow"/>
        </w:rPr>
        <w:t>Employer Name</w:t>
      </w:r>
      <w:r>
        <w:rPr>
          <w:rFonts w:ascii="Arial" w:hAnsi="Arial" w:cs="Arial"/>
        </w:rPr>
        <w:t>] will keep the investigation confidential to the extent possible.</w:t>
      </w:r>
      <w:r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szCs w:val="24"/>
        </w:rPr>
        <w:t xml:space="preserve"> 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szCs w:val="24"/>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w:t>
      </w:r>
      <w:r w:rsidRPr="0051126B">
        <w:rPr>
          <w:rFonts w:ascii="Arial" w:hAnsi="Arial" w:cs="Arial"/>
        </w:rPr>
        <w:lastRenderedPageBreak/>
        <w:t>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Pr="000F3C95">
        <w:rPr>
          <w:rFonts w:ascii="Arial" w:hAnsi="Arial" w:cs="Arial"/>
          <w:highlight w:val="yellow"/>
        </w:rPr>
        <w:t>[</w:t>
      </w:r>
      <w:r w:rsidRPr="000F3C95">
        <w:rPr>
          <w:rFonts w:ascii="Arial" w:hAnsi="Arial" w:cs="Arial"/>
          <w:i/>
          <w:highlight w:val="yellow"/>
        </w:rPr>
        <w:t>Employer Name</w:t>
      </w:r>
      <w:r w:rsidRPr="000F3C95">
        <w:rPr>
          <w:rFonts w:ascii="Arial" w:hAnsi="Arial" w:cs="Arial"/>
          <w:highlight w:val="yellow"/>
        </w:rPr>
        <w:t>]</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Legal Protections And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DC" w:rsidRDefault="00AA6DDC" w:rsidP="00FC1A8A">
      <w:pPr>
        <w:spacing w:after="0" w:line="240" w:lineRule="auto"/>
      </w:pPr>
      <w:r>
        <w:separator/>
      </w:r>
    </w:p>
  </w:endnote>
  <w:endnote w:type="continuationSeparator" w:id="0">
    <w:p w:rsidR="00AA6DDC" w:rsidRDefault="00AA6DDC" w:rsidP="00FC1A8A">
      <w:pPr>
        <w:spacing w:after="0" w:line="240" w:lineRule="auto"/>
      </w:pPr>
      <w:r>
        <w:continuationSeparator/>
      </w:r>
    </w:p>
  </w:endnote>
  <w:endnote w:type="continuationNotice" w:id="1">
    <w:p w:rsidR="00AA6DDC" w:rsidRDefault="00AA6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7C6206">
            <w:rPr>
              <w:rStyle w:val="PageNumber"/>
              <w:rFonts w:ascii="Arial" w:hAnsi="Arial" w:cs="Arial"/>
              <w:b/>
              <w:noProof/>
              <w:sz w:val="20"/>
              <w:szCs w:val="20"/>
            </w:rPr>
            <w:t>6</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DC" w:rsidRDefault="00AA6DDC" w:rsidP="00FC1A8A">
      <w:pPr>
        <w:spacing w:after="0" w:line="240" w:lineRule="auto"/>
      </w:pPr>
      <w:r>
        <w:separator/>
      </w:r>
    </w:p>
  </w:footnote>
  <w:footnote w:type="continuationSeparator" w:id="0">
    <w:p w:rsidR="00AA6DDC" w:rsidRDefault="00AA6DDC" w:rsidP="00FC1A8A">
      <w:pPr>
        <w:spacing w:after="0" w:line="240" w:lineRule="auto"/>
      </w:pPr>
      <w:r>
        <w:continuationSeparator/>
      </w:r>
    </w:p>
  </w:footnote>
  <w:footnote w:type="continuationNotice" w:id="1">
    <w:p w:rsidR="00AA6DDC" w:rsidRDefault="00AA6DDC">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6F34"/>
    <w:rsid w:val="00040847"/>
    <w:rsid w:val="000B196D"/>
    <w:rsid w:val="001178EF"/>
    <w:rsid w:val="001A6C78"/>
    <w:rsid w:val="001F19C7"/>
    <w:rsid w:val="001F5970"/>
    <w:rsid w:val="00220D03"/>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C6206"/>
    <w:rsid w:val="008E2357"/>
    <w:rsid w:val="00916925"/>
    <w:rsid w:val="009C49B9"/>
    <w:rsid w:val="009E5DB8"/>
    <w:rsid w:val="00A63375"/>
    <w:rsid w:val="00AA6DDC"/>
    <w:rsid w:val="00AC4F6C"/>
    <w:rsid w:val="00B01D3F"/>
    <w:rsid w:val="00B173A1"/>
    <w:rsid w:val="00B91F20"/>
    <w:rsid w:val="00C151B7"/>
    <w:rsid w:val="00C23D2A"/>
    <w:rsid w:val="00C40EB0"/>
    <w:rsid w:val="00C417A6"/>
    <w:rsid w:val="00CB7D1D"/>
    <w:rsid w:val="00D14D51"/>
    <w:rsid w:val="00D23A78"/>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1764-329D-4341-93A1-180F26C6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19703</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Alena S</cp:lastModifiedBy>
  <cp:revision>2</cp:revision>
  <cp:lastPrinted>2018-06-26T19:00:00Z</cp:lastPrinted>
  <dcterms:created xsi:type="dcterms:W3CDTF">2018-10-16T18:14:00Z</dcterms:created>
  <dcterms:modified xsi:type="dcterms:W3CDTF">2018-10-16T18:14:00Z</dcterms:modified>
</cp:coreProperties>
</file>